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fc57b95594c62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25992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OPĆINA DUBRAVA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22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1.607.171,92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1.654.474,73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102,9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1.086.435,98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1.312.290,62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120,8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POSLOVANJA (šifre 6-Z005)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520.735,94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342.184,11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65,7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635,43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69.346,19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&gt;&gt;100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811.302,96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2.468.852,03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304,3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810.667,53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2.399.505,84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296,0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612.622,66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2.215.817,94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361,7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1.728,54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1.469,43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85,0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PRIMITAKA OD FINANCIJSKE IMOVINE I ZADUŽIVANJA (šifre 8-5)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610.894,12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2.214.348,51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362,5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I PRIMITAKA (šifre X678-Y345)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320.962,53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157.026,78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48,9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Sredstva proračuna trošena su racionalno, uz odgovorno upravljanje rashodima i aktivnu politiku naplate prihoda. Osim redovnog praćenja i naplate prihoda, provodile su se i kontinuirane prijave na natejčaje koje raspisuju nadležna ministarstva, županijska tijela i ostali javni izvori financiranja. Tkvim pristupom ostvaren je višak prihoda u promatranom razdoblju u iznosu 157.026,78 eura.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proračunu i izvanproračunskim korisnicima iz drugih proračuna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545.201,76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219.981,50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40,3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2024. godini na kontu 6331 je evidentirana pomoć za fiskalno izravnanje, dok u 2025. je prema novom kontnom planu fiskalno izravnanje knjiženo na vlastiti konto.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Komunalne naknade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12.106,42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34.597,72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285,8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Razlika u odnosu na 2024. godinu je zbog revidiranja baze komunalne naknade prema kojoj je izvršeno zaduženje za 2025. godinu.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Intelektualne i osobne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31.940,81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109.850,45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343,9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 konto 3237 u 2025. godini knjiženi su autorski honorari za izvođače na DubravaFestu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Obračunati prihodi poslovanja - nenaplaćeni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332.961,04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806.552,36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242,2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Obračunati prihodi poslovanja za 2025. godinu iznose 806.522,36 iz razloga što se knjigovodstveno evidentiralo potraživanje za fiskalno izravnanje prema uputi iz okružnice.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Zemljište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436,35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69.147,11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&gt;&gt;100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2025. godini realizirana je prodaja poljoprivrednog zemljišta u državnom vlasništu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Dodatna ulaganja na građevinskim objektima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739.433,28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2.336.662,28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316,0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Glavnina rashoda konta 451 odnosi se na rekonstrukciju i dogradnju Dječjeg vrtića Dubrava.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8445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Primljeni zajmovi od ostalih tuzemnih financijskih institucija izvan javnog sektora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8445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612.622,66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2.215.817,94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361,7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Korištena sredstva kredita HBOR-a za financiranje rekonsturkcije i dogradnje dječjeg vrtića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48.146,85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dospjelih obveza iznosi 48.146,85 iz razloga što je dio obveza evidentiran nakon završetka izvještajnog razdoblja, iako se sadržajno odnosi na to razdoblje. Također unutar ukupno dospjelih obveza  nalaze se i sredstva koja će se kompenzirati najmoprimcima temeljem njihovih ulaganja u imovinu u vlasništvu JLS kroz umanjenje budućih mjesečnih najamnina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24833f80d4454" /></Relationships>
</file>