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5CDE6" w14:textId="77777777" w:rsidR="00457215" w:rsidRPr="00137A23" w:rsidRDefault="00457215" w:rsidP="00457215">
      <w:pPr>
        <w:spacing w:line="240" w:lineRule="auto"/>
        <w:rPr>
          <w:rFonts w:ascii="Sylfaen" w:eastAsia="Times New Roman" w:hAnsi="Sylfaen" w:cs="Arial"/>
          <w:b/>
          <w:lang w:eastAsia="hr-HR"/>
        </w:rPr>
      </w:pPr>
      <w:r w:rsidRPr="00137A23">
        <w:rPr>
          <w:rFonts w:ascii="Sylfaen" w:eastAsia="Times New Roman" w:hAnsi="Sylfaen" w:cs="Arial"/>
          <w:b/>
          <w:lang w:eastAsia="hr-HR"/>
        </w:rPr>
        <w:t>OBRAZLOŽENJE</w:t>
      </w:r>
    </w:p>
    <w:p w14:paraId="44E8D8EE" w14:textId="77777777" w:rsidR="00457215" w:rsidRPr="00137A23" w:rsidRDefault="00457215" w:rsidP="00457215">
      <w:pPr>
        <w:keepNext/>
        <w:spacing w:line="240" w:lineRule="auto"/>
        <w:jc w:val="both"/>
        <w:outlineLvl w:val="1"/>
        <w:rPr>
          <w:rFonts w:ascii="Sylfaen" w:eastAsia="Times New Roman" w:hAnsi="Sylfaen" w:cs="Arial"/>
          <w:bCs/>
          <w:lang w:eastAsia="hr-HR"/>
        </w:rPr>
      </w:pPr>
    </w:p>
    <w:p w14:paraId="33D6FD46" w14:textId="77777777" w:rsidR="00457215" w:rsidRPr="00137A23" w:rsidRDefault="00457215" w:rsidP="00457215">
      <w:pPr>
        <w:spacing w:line="240" w:lineRule="auto"/>
        <w:jc w:val="both"/>
        <w:rPr>
          <w:rFonts w:ascii="Sylfaen" w:eastAsia="Times New Roman" w:hAnsi="Sylfaen" w:cs="Arial"/>
          <w:b/>
          <w:lang w:eastAsia="hr-HR"/>
        </w:rPr>
      </w:pPr>
      <w:r w:rsidRPr="00137A23">
        <w:rPr>
          <w:rFonts w:ascii="Sylfaen" w:eastAsia="Times New Roman" w:hAnsi="Sylfaen" w:cs="Arial"/>
          <w:b/>
          <w:lang w:eastAsia="hr-HR"/>
        </w:rPr>
        <w:t xml:space="preserve">Pravni temelj </w:t>
      </w:r>
    </w:p>
    <w:p w14:paraId="59BF45F6" w14:textId="77777777" w:rsidR="00457215" w:rsidRPr="00137A23" w:rsidRDefault="00457215" w:rsidP="00457215">
      <w:pPr>
        <w:spacing w:line="240" w:lineRule="auto"/>
        <w:jc w:val="both"/>
        <w:rPr>
          <w:rFonts w:ascii="Sylfaen" w:eastAsia="Times New Roman" w:hAnsi="Sylfaen" w:cs="Arial"/>
          <w:b/>
          <w:lang w:eastAsia="hr-HR"/>
        </w:rPr>
      </w:pPr>
      <w:r w:rsidRPr="00137A23">
        <w:rPr>
          <w:rFonts w:ascii="Sylfaen" w:eastAsia="Times New Roman" w:hAnsi="Sylfaen" w:cs="Arial"/>
          <w:bCs/>
          <w:lang w:eastAsia="hr-HR"/>
        </w:rPr>
        <w:t>Članak 9. stavak 10. Zakona o grobljima (''</w:t>
      </w:r>
      <w:r w:rsidRPr="00137A23">
        <w:rPr>
          <w:rFonts w:ascii="Sylfaen" w:hAnsi="Sylfaen" w:cs="Arial"/>
          <w:bCs/>
        </w:rPr>
        <w:t>Narodne</w:t>
      </w:r>
      <w:r w:rsidRPr="00137A23">
        <w:rPr>
          <w:rFonts w:ascii="Sylfaen" w:hAnsi="Sylfaen" w:cs="Arial"/>
        </w:rPr>
        <w:t xml:space="preserve"> novine''  broj 78/25 i 80/25 - ispravak)</w:t>
      </w:r>
    </w:p>
    <w:p w14:paraId="19EBDEEA" w14:textId="77777777" w:rsidR="00457215" w:rsidRPr="00137A23" w:rsidRDefault="00457215" w:rsidP="00457215">
      <w:pPr>
        <w:keepNext/>
        <w:spacing w:line="240" w:lineRule="auto"/>
        <w:jc w:val="both"/>
        <w:outlineLvl w:val="1"/>
        <w:rPr>
          <w:rFonts w:ascii="Sylfaen" w:eastAsia="Times New Roman" w:hAnsi="Sylfaen" w:cs="Arial"/>
          <w:lang w:eastAsia="hr-HR"/>
        </w:rPr>
      </w:pPr>
    </w:p>
    <w:p w14:paraId="08D363BE" w14:textId="77777777" w:rsidR="00457215" w:rsidRPr="00137A23" w:rsidRDefault="00457215" w:rsidP="00457215">
      <w:pPr>
        <w:keepNext/>
        <w:spacing w:line="240" w:lineRule="auto"/>
        <w:jc w:val="both"/>
        <w:outlineLvl w:val="1"/>
        <w:rPr>
          <w:rFonts w:ascii="Sylfaen" w:eastAsia="Times New Roman" w:hAnsi="Sylfaen" w:cs="Arial"/>
          <w:b/>
          <w:bCs/>
          <w:lang w:eastAsia="hr-HR"/>
        </w:rPr>
      </w:pPr>
      <w:r w:rsidRPr="00137A23">
        <w:rPr>
          <w:rFonts w:ascii="Sylfaen" w:eastAsia="Times New Roman" w:hAnsi="Sylfaen" w:cs="Arial"/>
          <w:b/>
          <w:bCs/>
          <w:lang w:eastAsia="hr-HR"/>
        </w:rPr>
        <w:t xml:space="preserve">Razlozi donošenja  Odluke  o grobljima </w:t>
      </w:r>
    </w:p>
    <w:p w14:paraId="30A6345C" w14:textId="7DB1E88B" w:rsidR="00457215" w:rsidRPr="00137A23" w:rsidRDefault="00A73B36" w:rsidP="00457215">
      <w:pPr>
        <w:spacing w:line="240" w:lineRule="auto"/>
        <w:jc w:val="both"/>
        <w:rPr>
          <w:rFonts w:ascii="Sylfaen" w:hAnsi="Sylfaen" w:cs="Arial"/>
          <w:bCs/>
        </w:rPr>
      </w:pPr>
      <w:r w:rsidRPr="00137A23">
        <w:rPr>
          <w:rFonts w:ascii="Sylfaen" w:eastAsia="Times New Roman" w:hAnsi="Sylfaen" w:cs="Arial"/>
          <w:bCs/>
          <w:lang w:eastAsia="hr-HR"/>
        </w:rPr>
        <w:t>Općina Dubrava</w:t>
      </w:r>
      <w:r w:rsidR="00457215" w:rsidRPr="00137A23">
        <w:rPr>
          <w:rFonts w:ascii="Sylfaen" w:eastAsia="Times New Roman" w:hAnsi="Sylfaen" w:cs="Arial"/>
          <w:bCs/>
          <w:lang w:eastAsia="hr-HR"/>
        </w:rPr>
        <w:t xml:space="preserve"> doni</w:t>
      </w:r>
      <w:r w:rsidRPr="00137A23">
        <w:rPr>
          <w:rFonts w:ascii="Sylfaen" w:eastAsia="Times New Roman" w:hAnsi="Sylfaen" w:cs="Arial"/>
          <w:bCs/>
          <w:lang w:eastAsia="hr-HR"/>
        </w:rPr>
        <w:t>jela</w:t>
      </w:r>
      <w:r w:rsidR="00457215" w:rsidRPr="00137A23">
        <w:rPr>
          <w:rFonts w:ascii="Sylfaen" w:eastAsia="Times New Roman" w:hAnsi="Sylfaen" w:cs="Arial"/>
          <w:bCs/>
          <w:lang w:eastAsia="hr-HR"/>
        </w:rPr>
        <w:t xml:space="preserve"> je </w:t>
      </w:r>
      <w:bookmarkStart w:id="0" w:name="_Hlk224655156"/>
      <w:r w:rsidR="00457215" w:rsidRPr="00137A23">
        <w:rPr>
          <w:rFonts w:ascii="Sylfaen" w:eastAsia="Times New Roman" w:hAnsi="Sylfaen" w:cs="Arial"/>
          <w:bCs/>
          <w:lang w:eastAsia="hr-HR"/>
        </w:rPr>
        <w:t xml:space="preserve">Odluku o grobljima </w:t>
      </w:r>
      <w:r w:rsidR="00457215" w:rsidRPr="00137A23">
        <w:rPr>
          <w:rFonts w:ascii="Sylfaen" w:hAnsi="Sylfaen" w:cs="Arial"/>
          <w:bCs/>
        </w:rPr>
        <w:t xml:space="preserve">("Službeni glasnik </w:t>
      </w:r>
      <w:r w:rsidRPr="00137A23">
        <w:rPr>
          <w:rFonts w:ascii="Sylfaen" w:hAnsi="Sylfaen" w:cs="Arial"/>
          <w:bCs/>
        </w:rPr>
        <w:t>Zagrebačke županije</w:t>
      </w:r>
      <w:r w:rsidR="00457215" w:rsidRPr="00137A23">
        <w:rPr>
          <w:rFonts w:ascii="Sylfaen" w:hAnsi="Sylfaen" w:cs="Arial"/>
          <w:bCs/>
        </w:rPr>
        <w:t xml:space="preserve">", broj </w:t>
      </w:r>
      <w:r w:rsidRPr="00137A23">
        <w:rPr>
          <w:rFonts w:ascii="Sylfaen" w:hAnsi="Sylfaen" w:cs="Arial"/>
          <w:bCs/>
        </w:rPr>
        <w:t>10/23</w:t>
      </w:r>
      <w:r w:rsidR="00457215" w:rsidRPr="00137A23">
        <w:rPr>
          <w:rFonts w:ascii="Sylfaen" w:hAnsi="Sylfaen" w:cs="Arial"/>
          <w:bCs/>
        </w:rPr>
        <w:t>).</w:t>
      </w:r>
      <w:bookmarkEnd w:id="0"/>
      <w:r w:rsidR="00457215" w:rsidRPr="00137A23">
        <w:rPr>
          <w:rFonts w:ascii="Sylfaen" w:hAnsi="Sylfaen" w:cs="Arial"/>
          <w:bCs/>
        </w:rPr>
        <w:t xml:space="preserve"> Zakon o grobljima temeljem kojeg je bila donijeta navedena </w:t>
      </w:r>
      <w:r w:rsidR="00457215" w:rsidRPr="00137A23">
        <w:rPr>
          <w:rFonts w:ascii="Sylfaen" w:eastAsia="Times New Roman" w:hAnsi="Sylfaen" w:cs="Arial"/>
          <w:bCs/>
          <w:lang w:eastAsia="hr-HR"/>
        </w:rPr>
        <w:t xml:space="preserve">Odluka </w:t>
      </w:r>
      <w:r w:rsidR="00457215" w:rsidRPr="00137A23">
        <w:rPr>
          <w:rFonts w:ascii="Sylfaen" w:hAnsi="Sylfaen" w:cs="Arial"/>
          <w:bCs/>
        </w:rPr>
        <w:t xml:space="preserve">stavljen je  izvan snage stupanjem na snagu  Zakona o grobljima </w:t>
      </w:r>
      <w:bookmarkStart w:id="1" w:name="_Hlk224655586"/>
      <w:r w:rsidR="00457215" w:rsidRPr="00137A23">
        <w:rPr>
          <w:rFonts w:ascii="Sylfaen" w:hAnsi="Sylfaen" w:cs="Arial"/>
          <w:bCs/>
        </w:rPr>
        <w:t>(</w:t>
      </w:r>
      <w:r w:rsidR="00457215" w:rsidRPr="00137A23">
        <w:rPr>
          <w:rFonts w:ascii="Sylfaen" w:eastAsia="Times New Roman" w:hAnsi="Sylfaen" w:cs="Arial"/>
          <w:b/>
          <w:lang w:eastAsia="hr-HR"/>
        </w:rPr>
        <w:t>''</w:t>
      </w:r>
      <w:r w:rsidR="00457215" w:rsidRPr="00137A23">
        <w:rPr>
          <w:rFonts w:ascii="Sylfaen" w:hAnsi="Sylfaen" w:cs="Arial"/>
        </w:rPr>
        <w:t>Narodne novine''  broj 78/25 i 80/25 – ispravak).</w:t>
      </w:r>
    </w:p>
    <w:bookmarkEnd w:id="1"/>
    <w:p w14:paraId="73337A12" w14:textId="77777777" w:rsidR="00457215" w:rsidRPr="00137A23" w:rsidRDefault="00457215" w:rsidP="00457215">
      <w:pPr>
        <w:spacing w:line="240" w:lineRule="auto"/>
        <w:jc w:val="both"/>
        <w:rPr>
          <w:rFonts w:ascii="Sylfaen" w:hAnsi="Sylfaen" w:cs="Arial"/>
        </w:rPr>
      </w:pPr>
    </w:p>
    <w:p w14:paraId="18DEFDC7" w14:textId="77777777" w:rsidR="00457215" w:rsidRPr="00137A23" w:rsidRDefault="00457215" w:rsidP="00457215">
      <w:pPr>
        <w:spacing w:line="240" w:lineRule="auto"/>
        <w:jc w:val="both"/>
        <w:rPr>
          <w:rFonts w:ascii="Sylfaen" w:hAnsi="Sylfaen" w:cs="Arial"/>
        </w:rPr>
      </w:pPr>
      <w:r w:rsidRPr="00137A23">
        <w:rPr>
          <w:rFonts w:ascii="Sylfaen" w:hAnsi="Sylfaen" w:cs="Arial"/>
        </w:rPr>
        <w:t>Odredbe ''novog'' Zakona o grobljima jedinicama lokalne samouprave nalažu propisivanje više uvjeta i mjerila u odnosu na odredbe ''starog'' Zakona  o grobljima.</w:t>
      </w:r>
    </w:p>
    <w:p w14:paraId="3DBA6ADF" w14:textId="77777777" w:rsidR="00457215" w:rsidRPr="00137A23" w:rsidRDefault="00457215" w:rsidP="00457215">
      <w:pPr>
        <w:spacing w:line="240" w:lineRule="auto"/>
        <w:jc w:val="both"/>
        <w:rPr>
          <w:rFonts w:ascii="Sylfaen" w:hAnsi="Sylfaen" w:cs="Arial"/>
        </w:rPr>
      </w:pPr>
    </w:p>
    <w:p w14:paraId="33A2D3F7" w14:textId="77777777" w:rsidR="00457215" w:rsidRPr="00137A23" w:rsidRDefault="00457215" w:rsidP="009C3013">
      <w:pPr>
        <w:spacing w:line="240" w:lineRule="auto"/>
        <w:jc w:val="both"/>
        <w:rPr>
          <w:rFonts w:ascii="Sylfaen" w:hAnsi="Sylfaen" w:cs="Arial"/>
          <w:bCs/>
        </w:rPr>
      </w:pPr>
      <w:r w:rsidRPr="00137A23">
        <w:rPr>
          <w:rFonts w:ascii="Sylfaen" w:hAnsi="Sylfaen" w:cs="Arial"/>
          <w:bCs/>
        </w:rPr>
        <w:t>Zakon o grobljima objavljen je „Narodnim novinama“ broj 78/25 te je stupio na snagu 17.</w:t>
      </w:r>
    </w:p>
    <w:p w14:paraId="08AA743D" w14:textId="6D59F7FE" w:rsidR="00457215" w:rsidRPr="00137A23" w:rsidRDefault="00457215" w:rsidP="009C3013">
      <w:pPr>
        <w:spacing w:line="240" w:lineRule="auto"/>
        <w:jc w:val="both"/>
        <w:rPr>
          <w:rFonts w:ascii="Sylfaen" w:hAnsi="Sylfaen" w:cs="Arial"/>
          <w:bCs/>
        </w:rPr>
      </w:pPr>
      <w:r w:rsidRPr="00137A23">
        <w:rPr>
          <w:rFonts w:ascii="Sylfaen" w:hAnsi="Sylfaen" w:cs="Arial"/>
          <w:bCs/>
        </w:rPr>
        <w:t xml:space="preserve">svibnja 2025. godine dok je ispravak istog objavljen u ''Narodnim novinama'' broj 80/25. Sukladno članku 46. Zakona o grobljima, </w:t>
      </w:r>
      <w:r w:rsidR="00A73B36" w:rsidRPr="00137A23">
        <w:rPr>
          <w:rFonts w:ascii="Sylfaen" w:hAnsi="Sylfaen" w:cs="Arial"/>
          <w:bCs/>
        </w:rPr>
        <w:t>Općinsko vijeće Općine Dubrava</w:t>
      </w:r>
      <w:r w:rsidRPr="00137A23">
        <w:rPr>
          <w:rFonts w:ascii="Sylfaen" w:hAnsi="Sylfaen" w:cs="Arial"/>
          <w:bCs/>
        </w:rPr>
        <w:t xml:space="preserve"> dužno je, u roku od</w:t>
      </w:r>
    </w:p>
    <w:p w14:paraId="0E3A02E8" w14:textId="77777777" w:rsidR="00457215" w:rsidRPr="00137A23" w:rsidRDefault="00457215" w:rsidP="009C3013">
      <w:pPr>
        <w:spacing w:line="240" w:lineRule="auto"/>
        <w:jc w:val="both"/>
        <w:rPr>
          <w:rFonts w:ascii="Sylfaen" w:hAnsi="Sylfaen" w:cs="Arial"/>
          <w:bCs/>
        </w:rPr>
      </w:pPr>
      <w:r w:rsidRPr="00137A23">
        <w:rPr>
          <w:rFonts w:ascii="Sylfaen" w:hAnsi="Sylfaen" w:cs="Arial"/>
          <w:bCs/>
        </w:rPr>
        <w:t>godine dana od dana stupanja na snagu Zakona o grobljima, donijeti Odluku o grobljima.</w:t>
      </w:r>
    </w:p>
    <w:p w14:paraId="628E4157" w14:textId="77777777" w:rsidR="00457215" w:rsidRPr="00137A23" w:rsidRDefault="00457215" w:rsidP="009C3013">
      <w:pPr>
        <w:spacing w:line="240" w:lineRule="auto"/>
        <w:jc w:val="both"/>
        <w:rPr>
          <w:rFonts w:ascii="Sylfaen" w:hAnsi="Sylfaen" w:cs="Arial"/>
          <w:color w:val="EE0000"/>
        </w:rPr>
      </w:pPr>
    </w:p>
    <w:p w14:paraId="066D9641" w14:textId="77777777" w:rsidR="00457215" w:rsidRPr="00137A23" w:rsidRDefault="00457215" w:rsidP="009C3013">
      <w:pPr>
        <w:spacing w:line="240" w:lineRule="auto"/>
        <w:jc w:val="both"/>
        <w:rPr>
          <w:rFonts w:ascii="Sylfaen" w:hAnsi="Sylfaen" w:cs="Arial"/>
        </w:rPr>
      </w:pPr>
      <w:r w:rsidRPr="00137A23">
        <w:rPr>
          <w:rFonts w:ascii="Sylfaen" w:hAnsi="Sylfaen" w:cs="Arial"/>
        </w:rPr>
        <w:t xml:space="preserve">Sada je odredbom članka 9. stavka 10. Zakona o grobljima </w:t>
      </w:r>
      <w:r w:rsidRPr="00137A23">
        <w:rPr>
          <w:rFonts w:ascii="Sylfaen" w:hAnsi="Sylfaen" w:cs="Arial"/>
          <w:bCs/>
        </w:rPr>
        <w:t>(</w:t>
      </w:r>
      <w:r w:rsidRPr="00137A23">
        <w:rPr>
          <w:rFonts w:ascii="Sylfaen" w:eastAsia="Times New Roman" w:hAnsi="Sylfaen" w:cs="Arial"/>
          <w:b/>
          <w:lang w:eastAsia="hr-HR"/>
        </w:rPr>
        <w:t>''</w:t>
      </w:r>
      <w:r w:rsidRPr="00137A23">
        <w:rPr>
          <w:rFonts w:ascii="Sylfaen" w:hAnsi="Sylfaen" w:cs="Arial"/>
        </w:rPr>
        <w:t>Narodne novine''  broj 78/25 i 80/25 – ispravak - u nastavku: Zakon o grobljima)   propisano:</w:t>
      </w:r>
    </w:p>
    <w:p w14:paraId="3529E174" w14:textId="77777777" w:rsidR="00457215" w:rsidRPr="00137A23" w:rsidRDefault="00457215" w:rsidP="009C3013">
      <w:pPr>
        <w:spacing w:line="240" w:lineRule="auto"/>
        <w:jc w:val="both"/>
        <w:rPr>
          <w:rFonts w:ascii="Sylfaen" w:hAnsi="Sylfaen" w:cs="Arial"/>
        </w:rPr>
      </w:pPr>
    </w:p>
    <w:p w14:paraId="22BAEE91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jc w:val="both"/>
        <w:textAlignment w:val="baseline"/>
        <w:rPr>
          <w:rFonts w:ascii="Sylfaen" w:hAnsi="Sylfaen" w:cs="Arial"/>
          <w:i/>
          <w:iCs/>
          <w:color w:val="231F20"/>
          <w:sz w:val="22"/>
          <w:szCs w:val="22"/>
        </w:rPr>
      </w:pPr>
      <w:r w:rsidRPr="00137A23">
        <w:rPr>
          <w:rFonts w:ascii="Sylfaen" w:hAnsi="Sylfaen" w:cs="Arial"/>
          <w:i/>
          <w:iCs/>
          <w:color w:val="231F20"/>
          <w:sz w:val="22"/>
          <w:szCs w:val="22"/>
        </w:rPr>
        <w:t>''Predstavničko tijelo jedinice lokalne samouprave donosi odluku kojom se uređuju:</w:t>
      </w:r>
    </w:p>
    <w:p w14:paraId="785EF8D4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color w:val="231F20"/>
          <w:sz w:val="22"/>
          <w:szCs w:val="22"/>
        </w:rPr>
      </w:pPr>
      <w:bookmarkStart w:id="2" w:name="_Hlk225067405"/>
      <w:r w:rsidRPr="00137A23">
        <w:rPr>
          <w:rFonts w:ascii="Sylfaen" w:hAnsi="Sylfaen" w:cs="Arial"/>
          <w:i/>
          <w:iCs/>
          <w:color w:val="231F20"/>
          <w:sz w:val="22"/>
          <w:szCs w:val="22"/>
        </w:rPr>
        <w:t>– mjerila i kriteriji za dodjelu i ustupanje grobnih mjesta na korištenje</w:t>
      </w:r>
    </w:p>
    <w:p w14:paraId="6E7CDA25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color w:val="231F20"/>
          <w:sz w:val="22"/>
          <w:szCs w:val="22"/>
        </w:rPr>
      </w:pPr>
      <w:r w:rsidRPr="00137A23">
        <w:rPr>
          <w:rFonts w:ascii="Sylfaen" w:hAnsi="Sylfaen" w:cs="Arial"/>
          <w:i/>
          <w:iCs/>
          <w:color w:val="231F20"/>
          <w:sz w:val="22"/>
          <w:szCs w:val="22"/>
        </w:rPr>
        <w:t>– iskopavanje i premještaj posmrtnih ostataka</w:t>
      </w:r>
    </w:p>
    <w:p w14:paraId="46C9A478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color w:val="231F20"/>
          <w:sz w:val="22"/>
          <w:szCs w:val="22"/>
        </w:rPr>
      </w:pPr>
      <w:r w:rsidRPr="00137A23">
        <w:rPr>
          <w:rFonts w:ascii="Sylfaen" w:hAnsi="Sylfaen" w:cs="Arial"/>
          <w:i/>
          <w:iCs/>
          <w:color w:val="231F20"/>
          <w:sz w:val="22"/>
          <w:szCs w:val="22"/>
        </w:rPr>
        <w:t>– ukopi i privremeni ukopi</w:t>
      </w:r>
    </w:p>
    <w:p w14:paraId="40B76024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color w:val="231F20"/>
          <w:sz w:val="22"/>
          <w:szCs w:val="22"/>
        </w:rPr>
      </w:pPr>
      <w:r w:rsidRPr="00137A23">
        <w:rPr>
          <w:rFonts w:ascii="Sylfaen" w:hAnsi="Sylfaen" w:cs="Arial"/>
          <w:i/>
          <w:iCs/>
          <w:color w:val="231F20"/>
          <w:sz w:val="22"/>
          <w:szCs w:val="22"/>
        </w:rPr>
        <w:t>– način ukopa nepoznatih osoba</w:t>
      </w:r>
    </w:p>
    <w:p w14:paraId="55F02908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sz w:val="22"/>
          <w:szCs w:val="22"/>
        </w:rPr>
      </w:pPr>
      <w:r w:rsidRPr="00137A23">
        <w:rPr>
          <w:rFonts w:ascii="Sylfaen" w:hAnsi="Sylfaen" w:cs="Arial"/>
          <w:i/>
          <w:iCs/>
          <w:sz w:val="22"/>
          <w:szCs w:val="22"/>
        </w:rPr>
        <w:t>– produbljenje groba i premještanje posmrtnih ostataka u grobnici</w:t>
      </w:r>
    </w:p>
    <w:p w14:paraId="7962FD95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color w:val="231F20"/>
          <w:sz w:val="22"/>
          <w:szCs w:val="22"/>
        </w:rPr>
      </w:pPr>
      <w:r w:rsidRPr="00137A23">
        <w:rPr>
          <w:rFonts w:ascii="Sylfaen" w:hAnsi="Sylfaen" w:cs="Arial"/>
          <w:i/>
          <w:iCs/>
          <w:color w:val="231F20"/>
          <w:sz w:val="22"/>
          <w:szCs w:val="22"/>
        </w:rPr>
        <w:t>– održavanje groblja i uklanjanje otpada</w:t>
      </w:r>
    </w:p>
    <w:p w14:paraId="65A729A0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sz w:val="22"/>
          <w:szCs w:val="22"/>
        </w:rPr>
      </w:pPr>
      <w:r w:rsidRPr="00137A23">
        <w:rPr>
          <w:rFonts w:ascii="Sylfaen" w:hAnsi="Sylfaen" w:cs="Arial"/>
          <w:i/>
          <w:iCs/>
          <w:sz w:val="22"/>
          <w:szCs w:val="22"/>
        </w:rPr>
        <w:t>– veličina, dimenzije, materijal i izgled grobnih mjesta i spomen-obilježja</w:t>
      </w:r>
    </w:p>
    <w:p w14:paraId="58F4B990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color w:val="231F20"/>
          <w:sz w:val="22"/>
          <w:szCs w:val="22"/>
        </w:rPr>
      </w:pPr>
      <w:r w:rsidRPr="00137A23">
        <w:rPr>
          <w:rFonts w:ascii="Sylfaen" w:hAnsi="Sylfaen" w:cs="Arial"/>
          <w:i/>
          <w:iCs/>
          <w:color w:val="231F20"/>
          <w:sz w:val="22"/>
          <w:szCs w:val="22"/>
        </w:rPr>
        <w:t>– uvjeti upravljanja grobljem od strane pravne osobe koja upravlja grobljem</w:t>
      </w:r>
    </w:p>
    <w:p w14:paraId="3F7FAC5E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sz w:val="22"/>
          <w:szCs w:val="22"/>
        </w:rPr>
      </w:pPr>
      <w:r w:rsidRPr="00137A23">
        <w:rPr>
          <w:rFonts w:ascii="Sylfaen" w:hAnsi="Sylfaen" w:cs="Arial"/>
          <w:i/>
          <w:iCs/>
          <w:sz w:val="22"/>
          <w:szCs w:val="22"/>
        </w:rPr>
        <w:t>– uvjeti, način i mjesto prosipanja kremiranih posmrtnih ostataka umrle osobe</w:t>
      </w:r>
    </w:p>
    <w:p w14:paraId="200470EF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sz w:val="22"/>
          <w:szCs w:val="22"/>
        </w:rPr>
      </w:pPr>
      <w:r w:rsidRPr="00137A23">
        <w:rPr>
          <w:rFonts w:ascii="Sylfaen" w:hAnsi="Sylfaen" w:cs="Arial"/>
          <w:i/>
          <w:iCs/>
          <w:color w:val="231F20"/>
          <w:sz w:val="22"/>
          <w:szCs w:val="22"/>
        </w:rPr>
        <w:t xml:space="preserve">– uvjeti i mjerila za plaćanje naknade pri dodjeli grobnog mjesta i godišnje grobne naknade, </w:t>
      </w:r>
      <w:r w:rsidRPr="00137A23">
        <w:rPr>
          <w:rFonts w:ascii="Sylfaen" w:hAnsi="Sylfaen" w:cs="Arial"/>
          <w:i/>
          <w:iCs/>
          <w:sz w:val="22"/>
          <w:szCs w:val="22"/>
        </w:rPr>
        <w:t>kao i mogućnost plaćanja godišnje grobne naknade unaprijed</w:t>
      </w:r>
    </w:p>
    <w:p w14:paraId="656D520B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color w:val="231F20"/>
          <w:sz w:val="22"/>
          <w:szCs w:val="22"/>
        </w:rPr>
      </w:pPr>
      <w:r w:rsidRPr="00137A23">
        <w:rPr>
          <w:rFonts w:ascii="Sylfaen" w:hAnsi="Sylfaen" w:cs="Arial"/>
          <w:i/>
          <w:iCs/>
          <w:color w:val="231F20"/>
          <w:sz w:val="22"/>
          <w:szCs w:val="22"/>
        </w:rPr>
        <w:t>– uvjeti za ustupanje prava korištenja grobnog mjesta trećim osobama</w:t>
      </w:r>
    </w:p>
    <w:p w14:paraId="2DF16C4E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sz w:val="22"/>
          <w:szCs w:val="22"/>
        </w:rPr>
      </w:pPr>
      <w:r w:rsidRPr="00137A23">
        <w:rPr>
          <w:rFonts w:ascii="Sylfaen" w:hAnsi="Sylfaen" w:cs="Arial"/>
          <w:i/>
          <w:iCs/>
          <w:sz w:val="22"/>
          <w:szCs w:val="22"/>
        </w:rPr>
        <w:t>– mogućnost da pojedini dijelovi groblja služe za ukope članova pojedinih vjerskih zajednica te mogućnost da se na tim dijelovima groblja ukop obavlja uz prethodnu suglasnost predstavnika tih vjerskih zajednica</w:t>
      </w:r>
    </w:p>
    <w:p w14:paraId="21D4ACED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sz w:val="22"/>
          <w:szCs w:val="22"/>
        </w:rPr>
      </w:pPr>
      <w:r w:rsidRPr="00137A23">
        <w:rPr>
          <w:rFonts w:ascii="Sylfaen" w:hAnsi="Sylfaen" w:cs="Arial"/>
          <w:i/>
          <w:iCs/>
          <w:sz w:val="22"/>
          <w:szCs w:val="22"/>
        </w:rPr>
        <w:t>– mogućnost da dio groblja ustupi drugoj jedinici lokalne samouprave ili da sklopi ugovor o zajedničkom korištenju groblja s drugom jedinicom lokalne samouprave</w:t>
      </w:r>
    </w:p>
    <w:p w14:paraId="76FAC999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sz w:val="22"/>
          <w:szCs w:val="22"/>
        </w:rPr>
      </w:pPr>
      <w:r w:rsidRPr="00137A23">
        <w:rPr>
          <w:rFonts w:ascii="Sylfaen" w:hAnsi="Sylfaen" w:cs="Arial"/>
          <w:i/>
          <w:iCs/>
          <w:sz w:val="22"/>
          <w:szCs w:val="22"/>
        </w:rPr>
        <w:t>– mogućnost da se grobno mjesto dodijeli na korištenje bez obveze premještanja ostataka tijela umrlih osoba u zajedničku grobnicu</w:t>
      </w:r>
    </w:p>
    <w:p w14:paraId="0E14FA0E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sz w:val="22"/>
          <w:szCs w:val="22"/>
        </w:rPr>
      </w:pPr>
      <w:r w:rsidRPr="00137A23">
        <w:rPr>
          <w:rFonts w:ascii="Sylfaen" w:hAnsi="Sylfaen" w:cs="Arial"/>
          <w:i/>
          <w:iCs/>
          <w:sz w:val="22"/>
          <w:szCs w:val="22"/>
        </w:rPr>
        <w:lastRenderedPageBreak/>
        <w:t>– pravila za određivanje naknade za stjecanje opreme i uređaja koji se nalaze na grobnom mjestu bez korisnika grobnog mjesta</w:t>
      </w:r>
    </w:p>
    <w:p w14:paraId="55C9AE25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sz w:val="22"/>
          <w:szCs w:val="22"/>
        </w:rPr>
      </w:pPr>
      <w:r w:rsidRPr="00137A23">
        <w:rPr>
          <w:rFonts w:ascii="Sylfaen" w:hAnsi="Sylfaen" w:cs="Arial"/>
          <w:i/>
          <w:iCs/>
          <w:sz w:val="22"/>
          <w:szCs w:val="22"/>
        </w:rPr>
        <w:t>– prekršajne sankcije za prekršitelje odredbi.</w:t>
      </w:r>
      <w:bookmarkEnd w:id="2"/>
      <w:r w:rsidRPr="00137A23">
        <w:rPr>
          <w:rFonts w:ascii="Sylfaen" w:hAnsi="Sylfaen" w:cs="Arial"/>
          <w:i/>
          <w:iCs/>
          <w:sz w:val="22"/>
          <w:szCs w:val="22"/>
        </w:rPr>
        <w:t>''</w:t>
      </w:r>
    </w:p>
    <w:p w14:paraId="352AB116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Sylfaen" w:hAnsi="Sylfaen" w:cs="Arial"/>
          <w:i/>
          <w:iCs/>
          <w:sz w:val="22"/>
          <w:szCs w:val="22"/>
        </w:rPr>
      </w:pPr>
    </w:p>
    <w:p w14:paraId="41D86532" w14:textId="77777777" w:rsidR="00457215" w:rsidRPr="00137A23" w:rsidRDefault="00457215" w:rsidP="009C3013">
      <w:pPr>
        <w:pStyle w:val="box480012"/>
        <w:shd w:val="clear" w:color="auto" w:fill="FFFFFF"/>
        <w:spacing w:before="34" w:beforeAutospacing="0" w:after="48" w:afterAutospacing="0"/>
        <w:jc w:val="both"/>
        <w:textAlignment w:val="baseline"/>
        <w:rPr>
          <w:rFonts w:ascii="Sylfaen" w:hAnsi="Sylfaen" w:cs="Arial"/>
          <w:color w:val="231F20"/>
          <w:sz w:val="22"/>
          <w:szCs w:val="22"/>
        </w:rPr>
      </w:pPr>
      <w:r w:rsidRPr="00137A23">
        <w:rPr>
          <w:rFonts w:ascii="Sylfaen" w:hAnsi="Sylfaen" w:cs="Arial"/>
          <w:sz w:val="22"/>
          <w:szCs w:val="22"/>
        </w:rPr>
        <w:t xml:space="preserve">Člankom  46. Zakona </w:t>
      </w:r>
      <w:r w:rsidRPr="00137A23">
        <w:rPr>
          <w:rFonts w:ascii="Sylfaen" w:hAnsi="Sylfaen" w:cs="Arial"/>
          <w:color w:val="231F20"/>
          <w:sz w:val="22"/>
          <w:szCs w:val="22"/>
        </w:rPr>
        <w:t>o grobljima propisano je da  je predstavničko tijelo jedinice lokalne samouprave dužno  u roku od godine dana od dana stupanja na snagu  Zakona donijeti odluku kojom je potrebno urediti materiju navedenu  u članku 9. stavku 10. Zakona o grobljima.</w:t>
      </w:r>
    </w:p>
    <w:p w14:paraId="25AEFE97" w14:textId="77777777" w:rsidR="00457215" w:rsidRPr="00137A23" w:rsidRDefault="00457215" w:rsidP="009C3013">
      <w:pPr>
        <w:pStyle w:val="box480012"/>
        <w:shd w:val="clear" w:color="auto" w:fill="FFFFFF"/>
        <w:spacing w:before="34" w:beforeAutospacing="0" w:after="48" w:afterAutospacing="0"/>
        <w:jc w:val="both"/>
        <w:textAlignment w:val="baseline"/>
        <w:rPr>
          <w:rFonts w:ascii="Sylfaen" w:hAnsi="Sylfaen" w:cs="Arial"/>
          <w:b/>
          <w:bCs/>
          <w:color w:val="231F20"/>
          <w:sz w:val="22"/>
          <w:szCs w:val="22"/>
        </w:rPr>
      </w:pPr>
      <w:r w:rsidRPr="00137A23">
        <w:rPr>
          <w:rFonts w:ascii="Sylfaen" w:hAnsi="Sylfaen" w:cs="Arial"/>
          <w:b/>
          <w:bCs/>
          <w:color w:val="231F20"/>
          <w:sz w:val="22"/>
          <w:szCs w:val="22"/>
        </w:rPr>
        <w:t xml:space="preserve"> </w:t>
      </w:r>
    </w:p>
    <w:p w14:paraId="4569AF03" w14:textId="77777777" w:rsidR="00457215" w:rsidRPr="00137A23" w:rsidRDefault="00457215" w:rsidP="009C3013">
      <w:pPr>
        <w:pStyle w:val="box480012"/>
        <w:shd w:val="clear" w:color="auto" w:fill="FFFFFF"/>
        <w:spacing w:before="34" w:beforeAutospacing="0" w:after="48" w:afterAutospacing="0"/>
        <w:jc w:val="both"/>
        <w:textAlignment w:val="baseline"/>
        <w:rPr>
          <w:rFonts w:ascii="Sylfaen" w:hAnsi="Sylfaen" w:cs="Arial"/>
          <w:sz w:val="22"/>
          <w:szCs w:val="22"/>
        </w:rPr>
      </w:pPr>
      <w:r w:rsidRPr="00137A23">
        <w:rPr>
          <w:rFonts w:ascii="Sylfaen" w:hAnsi="Sylfaen" w:cs="Arial"/>
          <w:sz w:val="22"/>
          <w:szCs w:val="22"/>
        </w:rPr>
        <w:t xml:space="preserve">Groblja su komunalna infrastruktura u vlasništvu jedinica lokalne samouprave na čijem se području nalaze te su jedinice lokalne samouprave obvezne osigurati preduvjete za redovito održavanje i uredno funkcioniranje groblja na svom području. Postrožena su pravila u vezi s pravima i obvezama korisnika groblja sukladno zakonskim odredbama. </w:t>
      </w:r>
    </w:p>
    <w:p w14:paraId="026BDCDC" w14:textId="77777777" w:rsidR="00457215" w:rsidRPr="00137A23" w:rsidRDefault="00457215" w:rsidP="009C3013">
      <w:pPr>
        <w:pStyle w:val="box480012"/>
        <w:shd w:val="clear" w:color="auto" w:fill="FFFFFF"/>
        <w:spacing w:before="34" w:beforeAutospacing="0" w:after="48" w:afterAutospacing="0"/>
        <w:jc w:val="both"/>
        <w:textAlignment w:val="baseline"/>
        <w:rPr>
          <w:rFonts w:ascii="Sylfaen" w:hAnsi="Sylfaen" w:cs="Arial"/>
          <w:sz w:val="22"/>
          <w:szCs w:val="22"/>
        </w:rPr>
      </w:pPr>
    </w:p>
    <w:p w14:paraId="7F04A46E" w14:textId="77777777" w:rsidR="00457215" w:rsidRPr="00137A23" w:rsidRDefault="00457215" w:rsidP="009C3013">
      <w:pPr>
        <w:pStyle w:val="box480012"/>
        <w:shd w:val="clear" w:color="auto" w:fill="FFFFFF"/>
        <w:spacing w:before="34" w:beforeAutospacing="0" w:after="48" w:afterAutospacing="0"/>
        <w:jc w:val="both"/>
        <w:textAlignment w:val="baseline"/>
        <w:rPr>
          <w:rFonts w:ascii="Sylfaen" w:hAnsi="Sylfaen" w:cs="Arial"/>
          <w:sz w:val="22"/>
          <w:szCs w:val="22"/>
        </w:rPr>
      </w:pPr>
      <w:r w:rsidRPr="00137A23">
        <w:rPr>
          <w:rFonts w:ascii="Sylfaen" w:hAnsi="Sylfaen" w:cs="Arial"/>
          <w:sz w:val="22"/>
          <w:szCs w:val="22"/>
        </w:rPr>
        <w:t xml:space="preserve">Obveze korisnika grobnog mjesta su: </w:t>
      </w:r>
    </w:p>
    <w:p w14:paraId="70251F39" w14:textId="77777777" w:rsidR="00457215" w:rsidRPr="00137A23" w:rsidRDefault="00457215" w:rsidP="009C3013">
      <w:pPr>
        <w:pStyle w:val="box480012"/>
        <w:numPr>
          <w:ilvl w:val="0"/>
          <w:numId w:val="1"/>
        </w:numPr>
        <w:shd w:val="clear" w:color="auto" w:fill="FFFFFF"/>
        <w:spacing w:before="34" w:beforeAutospacing="0" w:after="48" w:afterAutospacing="0"/>
        <w:jc w:val="both"/>
        <w:textAlignment w:val="baseline"/>
        <w:rPr>
          <w:rFonts w:ascii="Sylfaen" w:hAnsi="Sylfaen" w:cs="Arial"/>
          <w:b/>
          <w:bCs/>
          <w:color w:val="231F20"/>
          <w:sz w:val="22"/>
          <w:szCs w:val="22"/>
        </w:rPr>
      </w:pPr>
      <w:r w:rsidRPr="00137A23">
        <w:rPr>
          <w:rFonts w:ascii="Sylfaen" w:hAnsi="Sylfaen" w:cs="Arial"/>
          <w:sz w:val="22"/>
          <w:szCs w:val="22"/>
        </w:rPr>
        <w:t xml:space="preserve">redovito plaćati godišnju grobnu naknadu, </w:t>
      </w:r>
    </w:p>
    <w:p w14:paraId="5B2BCA03" w14:textId="77777777" w:rsidR="00457215" w:rsidRPr="00137A23" w:rsidRDefault="00457215" w:rsidP="009C3013">
      <w:pPr>
        <w:pStyle w:val="box480012"/>
        <w:numPr>
          <w:ilvl w:val="0"/>
          <w:numId w:val="1"/>
        </w:numPr>
        <w:shd w:val="clear" w:color="auto" w:fill="FFFFFF"/>
        <w:spacing w:before="34" w:beforeAutospacing="0" w:after="48" w:afterAutospacing="0"/>
        <w:jc w:val="both"/>
        <w:textAlignment w:val="baseline"/>
        <w:rPr>
          <w:rFonts w:ascii="Sylfaen" w:hAnsi="Sylfaen" w:cs="Arial"/>
          <w:b/>
          <w:bCs/>
          <w:color w:val="231F20"/>
          <w:sz w:val="22"/>
          <w:szCs w:val="22"/>
        </w:rPr>
      </w:pPr>
      <w:r w:rsidRPr="00137A23">
        <w:rPr>
          <w:rFonts w:ascii="Sylfaen" w:hAnsi="Sylfaen" w:cs="Arial"/>
          <w:sz w:val="22"/>
          <w:szCs w:val="22"/>
        </w:rPr>
        <w:t xml:space="preserve">uređivati, čistiti i održavati grobno mjesto i prostor oko njega na način kojim iskazuje poštovanje prema umrlim osobama bez narušavanja cjelokupnog izgleda groblja, izazivanja opasnosti za sigurnost posjetitelja i bez narušavanja sigurnosti i stabilnosti drugih grobnih mjesta, </w:t>
      </w:r>
    </w:p>
    <w:p w14:paraId="39F1BC1E" w14:textId="77777777" w:rsidR="00457215" w:rsidRPr="00137A23" w:rsidRDefault="00457215" w:rsidP="009C3013">
      <w:pPr>
        <w:pStyle w:val="box480012"/>
        <w:numPr>
          <w:ilvl w:val="0"/>
          <w:numId w:val="1"/>
        </w:numPr>
        <w:shd w:val="clear" w:color="auto" w:fill="FFFFFF"/>
        <w:spacing w:before="34" w:beforeAutospacing="0" w:after="48" w:afterAutospacing="0"/>
        <w:jc w:val="both"/>
        <w:textAlignment w:val="baseline"/>
        <w:rPr>
          <w:rFonts w:ascii="Sylfaen" w:hAnsi="Sylfaen" w:cs="Arial"/>
          <w:b/>
          <w:bCs/>
          <w:color w:val="231F20"/>
          <w:sz w:val="22"/>
          <w:szCs w:val="22"/>
        </w:rPr>
      </w:pPr>
      <w:r w:rsidRPr="00137A23">
        <w:rPr>
          <w:rFonts w:ascii="Sylfaen" w:hAnsi="Sylfaen" w:cs="Arial"/>
          <w:sz w:val="22"/>
          <w:szCs w:val="22"/>
        </w:rPr>
        <w:t xml:space="preserve">poštivati odluku o ponašanju na groblju, </w:t>
      </w:r>
    </w:p>
    <w:p w14:paraId="09CA9B60" w14:textId="77777777" w:rsidR="00457215" w:rsidRPr="00137A23" w:rsidRDefault="00457215" w:rsidP="009C3013">
      <w:pPr>
        <w:pStyle w:val="box480012"/>
        <w:numPr>
          <w:ilvl w:val="0"/>
          <w:numId w:val="1"/>
        </w:numPr>
        <w:shd w:val="clear" w:color="auto" w:fill="FFFFFF"/>
        <w:spacing w:before="34" w:beforeAutospacing="0" w:after="48" w:afterAutospacing="0"/>
        <w:jc w:val="both"/>
        <w:textAlignment w:val="baseline"/>
        <w:rPr>
          <w:rFonts w:ascii="Sylfaen" w:hAnsi="Sylfaen" w:cs="Arial"/>
          <w:b/>
          <w:bCs/>
          <w:color w:val="231F20"/>
          <w:sz w:val="22"/>
          <w:szCs w:val="22"/>
        </w:rPr>
      </w:pPr>
      <w:r w:rsidRPr="00137A23">
        <w:rPr>
          <w:rFonts w:ascii="Sylfaen" w:hAnsi="Sylfaen" w:cs="Arial"/>
          <w:sz w:val="22"/>
          <w:szCs w:val="22"/>
        </w:rPr>
        <w:t xml:space="preserve">redovito ažurirati promjene osobnih podataka u grobnom očevidniku kod Upravitelja groblja. </w:t>
      </w:r>
    </w:p>
    <w:p w14:paraId="3CB76880" w14:textId="77777777" w:rsidR="00457215" w:rsidRPr="00137A23" w:rsidRDefault="00457215" w:rsidP="009C3013">
      <w:pPr>
        <w:pStyle w:val="box480012"/>
        <w:shd w:val="clear" w:color="auto" w:fill="FFFFFF"/>
        <w:spacing w:before="34" w:beforeAutospacing="0" w:after="48" w:afterAutospacing="0"/>
        <w:jc w:val="both"/>
        <w:textAlignment w:val="baseline"/>
        <w:rPr>
          <w:rFonts w:ascii="Sylfaen" w:hAnsi="Sylfaen" w:cs="Arial"/>
          <w:sz w:val="22"/>
          <w:szCs w:val="22"/>
        </w:rPr>
      </w:pPr>
    </w:p>
    <w:p w14:paraId="6426DD3D" w14:textId="0C5A0DAA" w:rsidR="00457215" w:rsidRPr="00137A23" w:rsidRDefault="00457215" w:rsidP="009C3013">
      <w:pPr>
        <w:pStyle w:val="box480012"/>
        <w:shd w:val="clear" w:color="auto" w:fill="FFFFFF"/>
        <w:spacing w:before="34" w:beforeAutospacing="0" w:after="48" w:afterAutospacing="0"/>
        <w:jc w:val="both"/>
        <w:textAlignment w:val="baseline"/>
        <w:rPr>
          <w:rFonts w:ascii="Sylfaen" w:hAnsi="Sylfaen" w:cs="Arial"/>
          <w:sz w:val="22"/>
          <w:szCs w:val="22"/>
        </w:rPr>
      </w:pPr>
      <w:r w:rsidRPr="00137A23">
        <w:rPr>
          <w:rFonts w:ascii="Sylfaen" w:hAnsi="Sylfaen" w:cs="Arial"/>
          <w:sz w:val="22"/>
          <w:szCs w:val="22"/>
        </w:rPr>
        <w:t>I dalje je moguće nasljeđivati grobno mjesto kroz rješenja o nasljeđivanju prava korištenja i ustupati trećim osobama kroz javnobilježnički ovjerene ugovore.</w:t>
      </w:r>
    </w:p>
    <w:p w14:paraId="5A7898AC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jc w:val="both"/>
        <w:textAlignment w:val="baseline"/>
        <w:rPr>
          <w:rFonts w:ascii="Sylfaen" w:hAnsi="Sylfaen" w:cs="Arial"/>
          <w:sz w:val="22"/>
          <w:szCs w:val="22"/>
        </w:rPr>
      </w:pPr>
    </w:p>
    <w:p w14:paraId="5F85DB65" w14:textId="69F0B98E" w:rsidR="00457215" w:rsidRPr="00137A23" w:rsidRDefault="009C3013" w:rsidP="009C3013">
      <w:pPr>
        <w:pStyle w:val="box480012"/>
        <w:shd w:val="clear" w:color="auto" w:fill="FFFFFF"/>
        <w:spacing w:before="0" w:beforeAutospacing="0" w:after="48" w:afterAutospacing="0"/>
        <w:jc w:val="both"/>
        <w:textAlignment w:val="baseline"/>
        <w:rPr>
          <w:rFonts w:ascii="Sylfaen" w:hAnsi="Sylfaen" w:cs="Arial"/>
          <w:sz w:val="22"/>
          <w:szCs w:val="22"/>
        </w:rPr>
      </w:pPr>
      <w:r w:rsidRPr="00137A23">
        <w:rPr>
          <w:rFonts w:ascii="Sylfaen" w:hAnsi="Sylfaen" w:cs="Arial"/>
          <w:sz w:val="22"/>
          <w:szCs w:val="22"/>
        </w:rPr>
        <w:t>D</w:t>
      </w:r>
      <w:r w:rsidR="00457215" w:rsidRPr="00137A23">
        <w:rPr>
          <w:rFonts w:ascii="Sylfaen" w:hAnsi="Sylfaen" w:cs="Arial"/>
          <w:sz w:val="22"/>
          <w:szCs w:val="22"/>
        </w:rPr>
        <w:t xml:space="preserve">odane su nove odredbe koje nalaže Zakon o grobljima, a koje se odnose na iskopavanje i premještaj posmrtnih ostataka; produbljenje groba i premještanje posmrtnih ostataka u grobnici; veličinu, dimenzije, materijal i izgled grobnih mjesta i spomen-obilježja;  uvjete, način i mjesto prosipanja kremiranih posmrtnih ostataka umrle osobe; mogućnost plaćanja godišnje grobne naknade unaprijed; uvjete za ustupanje prava korištenja grobnog mjesta trećim osobama; mogućnost da pojedini dijelovi groblja služe za ukope članova pojedinih vjerskih zajednica te mogućnost da se na tim dijelovima groblja ukop obavlja uz prethodnu suglasnost predstavnika tih vjerskih zajednica; mogućnost da dio groblja ustupi drugoj jedinici lokalne samouprave ili da sklopi ugovor o zajedničkom korištenju groblja s drugom jedinicom lokalne samouprave; mogućnost da se grobno mjesto dodijeli na korištenje bez obveze premještanja ostataka tijela umrlih osoba u zajedničku grobnicu;  pravila za određivanje naknade za stjecanje opreme i uređaja koji se nalaze na grobnom mjestu bez korisnika grobnog mjesta i  prekršajne sankcije za prekršitelje odredbi. Osim navedenog tekst je usklađen s odredbama Zakona o grobljima. </w:t>
      </w:r>
    </w:p>
    <w:p w14:paraId="2D3E9486" w14:textId="77777777" w:rsidR="00457215" w:rsidRPr="00137A23" w:rsidRDefault="00457215" w:rsidP="009C3013">
      <w:pPr>
        <w:pStyle w:val="box480012"/>
        <w:shd w:val="clear" w:color="auto" w:fill="FFFFFF"/>
        <w:jc w:val="both"/>
        <w:textAlignment w:val="baseline"/>
        <w:rPr>
          <w:rFonts w:ascii="Sylfaen" w:hAnsi="Sylfaen" w:cs="Arial"/>
          <w:color w:val="231F20"/>
          <w:sz w:val="22"/>
          <w:szCs w:val="22"/>
        </w:rPr>
      </w:pPr>
      <w:r w:rsidRPr="00137A23">
        <w:rPr>
          <w:rFonts w:ascii="Sylfaen" w:hAnsi="Sylfaen" w:cs="Arial"/>
          <w:color w:val="231F20"/>
          <w:sz w:val="22"/>
          <w:szCs w:val="22"/>
        </w:rPr>
        <w:t xml:space="preserve">Pravo korištenja grobnog mjesta korisnik može izgubiti ako deset godina zaredom ne plaća godišnju grobnu naknadu, što je bilo propisano i ranijim Zakonom. Međutim, novi Zakon o grobljima prvi put uvodi obvezu donošenja formalnog rješenja o prestanku prava korištenja te omogućuje korisnicima </w:t>
      </w:r>
      <w:r w:rsidRPr="00137A23">
        <w:rPr>
          <w:rFonts w:ascii="Sylfaen" w:hAnsi="Sylfaen" w:cs="Arial"/>
          <w:color w:val="231F20"/>
          <w:sz w:val="22"/>
          <w:szCs w:val="22"/>
        </w:rPr>
        <w:lastRenderedPageBreak/>
        <w:t>pravo žalbe ili pokretanje upravnog spora. Nakon što pravo prestane, posmrtni ostaci iz napuštenog groba premještaju se u zajedničku grobnicu, a grobno mjesto može se dodijeliti novom korisniku.</w:t>
      </w:r>
    </w:p>
    <w:p w14:paraId="54D4A28F" w14:textId="77777777" w:rsidR="00457215" w:rsidRPr="00137A23" w:rsidRDefault="00457215" w:rsidP="009C3013">
      <w:pPr>
        <w:pStyle w:val="box480012"/>
        <w:shd w:val="clear" w:color="auto" w:fill="FFFFFF"/>
        <w:ind w:firstLine="408"/>
        <w:jc w:val="both"/>
        <w:textAlignment w:val="baseline"/>
        <w:rPr>
          <w:rFonts w:ascii="Sylfaen" w:hAnsi="Sylfaen" w:cs="Arial"/>
          <w:color w:val="231F20"/>
          <w:sz w:val="22"/>
          <w:szCs w:val="22"/>
        </w:rPr>
      </w:pPr>
      <w:r w:rsidRPr="00137A23">
        <w:rPr>
          <w:rFonts w:ascii="Sylfaen" w:hAnsi="Sylfaen" w:cs="Arial"/>
          <w:color w:val="231F20"/>
          <w:sz w:val="22"/>
          <w:szCs w:val="22"/>
        </w:rPr>
        <w:t>Jedna od značajnijih novina zakona odnosi se uklanjanje nadgrobnih spomenika i natpisa koji vrijeđaju nacionalne, vjerske ili moralne osjećaje građana, veličaju agresiju na Republiku Hrvatsku ili omalovažavaju Domovinski rat.  Ako korisnik u roku od 30 dana od upozorenja ne ukloni sporni spomenik, uklanjanje će izvršiti upravitelj groblja na njegov trošak. Spomenici postavljeni prije 30. svibnja 1990. neće biti obuhvaćeni ovim pravilima.  U roku od 30 dana od dana stupanja Zakona na snagu sva se postojeća oprema i uređaji grobnog mjesta i spomen-obilježja koji nisu u skladu s odredbama novoga Zakona moraju ukloniti. U suprotnom korisnicima prijete prekršajne sankcije.</w:t>
      </w:r>
    </w:p>
    <w:p w14:paraId="7C6D2588" w14:textId="77777777" w:rsidR="00457215" w:rsidRPr="00137A23" w:rsidRDefault="00457215" w:rsidP="009C3013">
      <w:pPr>
        <w:pStyle w:val="box480012"/>
        <w:shd w:val="clear" w:color="auto" w:fill="FFFFFF"/>
        <w:spacing w:before="0" w:beforeAutospacing="0" w:after="48" w:afterAutospacing="0"/>
        <w:jc w:val="both"/>
        <w:textAlignment w:val="baseline"/>
        <w:rPr>
          <w:rFonts w:ascii="Sylfaen" w:hAnsi="Sylfaen" w:cs="Arial"/>
          <w:color w:val="231F20"/>
          <w:sz w:val="22"/>
          <w:szCs w:val="22"/>
        </w:rPr>
      </w:pPr>
      <w:r w:rsidRPr="00137A23">
        <w:rPr>
          <w:rFonts w:ascii="Sylfaen" w:hAnsi="Sylfaen" w:cs="Arial"/>
          <w:color w:val="231F20"/>
          <w:sz w:val="22"/>
          <w:szCs w:val="22"/>
        </w:rPr>
        <w:t>Također, uvodi se i obveza vođenja javno dostupnih grobnih očevidnika što će građanima olakšati način da dođu do informacija o slobodnim i postojećim grobnim mjestima.</w:t>
      </w:r>
    </w:p>
    <w:p w14:paraId="0245CD98" w14:textId="245ABD0B" w:rsidR="00457215" w:rsidRPr="00137A23" w:rsidRDefault="00457215" w:rsidP="009C3013">
      <w:pPr>
        <w:jc w:val="both"/>
        <w:rPr>
          <w:rFonts w:ascii="Sylfaen" w:hAnsi="Sylfaen" w:cs="Arial"/>
          <w:color w:val="EE0000"/>
        </w:rPr>
      </w:pPr>
    </w:p>
    <w:p w14:paraId="1FB6C693" w14:textId="1EC507A8" w:rsidR="00457215" w:rsidRPr="00137A23" w:rsidRDefault="00457215" w:rsidP="009C3013">
      <w:pPr>
        <w:jc w:val="both"/>
        <w:rPr>
          <w:rFonts w:ascii="Sylfaen" w:hAnsi="Sylfaen" w:cs="Arial"/>
          <w:color w:val="EE0000"/>
        </w:rPr>
      </w:pPr>
      <w:r w:rsidRPr="00137A23">
        <w:rPr>
          <w:rFonts w:ascii="Sylfaen" w:hAnsi="Sylfaen" w:cs="Arial"/>
        </w:rPr>
        <w:t>Nacrt teksta Odluke je usklađen sa odredbama Zakona o grobljima</w:t>
      </w:r>
    </w:p>
    <w:p w14:paraId="759B6718" w14:textId="77777777" w:rsidR="00457215" w:rsidRPr="00137A23" w:rsidRDefault="00457215" w:rsidP="009C3013">
      <w:pPr>
        <w:jc w:val="both"/>
        <w:rPr>
          <w:rFonts w:ascii="Sylfaen" w:hAnsi="Sylfaen" w:cs="Arial"/>
          <w:color w:val="EE0000"/>
        </w:rPr>
      </w:pPr>
      <w:bookmarkStart w:id="3" w:name="_GoBack"/>
      <w:bookmarkEnd w:id="3"/>
    </w:p>
    <w:p w14:paraId="77AF5210" w14:textId="77777777" w:rsidR="00457215" w:rsidRPr="00137A23" w:rsidRDefault="00457215" w:rsidP="009C3013">
      <w:pPr>
        <w:shd w:val="clear" w:color="auto" w:fill="FFFFFF"/>
        <w:spacing w:line="240" w:lineRule="auto"/>
        <w:jc w:val="both"/>
        <w:textAlignment w:val="baseline"/>
        <w:rPr>
          <w:rFonts w:ascii="Sylfaen" w:eastAsia="Times New Roman" w:hAnsi="Sylfaen" w:cs="Arial"/>
          <w:bCs/>
          <w:lang w:eastAsia="hr-HR"/>
        </w:rPr>
      </w:pPr>
    </w:p>
    <w:p w14:paraId="1BEC1EA2" w14:textId="77777777" w:rsidR="00457215" w:rsidRPr="00137A23" w:rsidRDefault="00457215" w:rsidP="009C3013">
      <w:pPr>
        <w:shd w:val="clear" w:color="auto" w:fill="FFFFFF"/>
        <w:spacing w:line="240" w:lineRule="auto"/>
        <w:jc w:val="both"/>
        <w:textAlignment w:val="baseline"/>
        <w:rPr>
          <w:rFonts w:ascii="Sylfaen" w:hAnsi="Sylfaen" w:cs="Arial"/>
        </w:rPr>
      </w:pPr>
      <w:r w:rsidRPr="00137A23">
        <w:rPr>
          <w:rFonts w:ascii="Sylfaen" w:hAnsi="Sylfaen" w:cs="Arial"/>
          <w:b/>
          <w:bCs/>
        </w:rPr>
        <w:t xml:space="preserve">Ocjena sredstava potrebnih za provođenje akta  </w:t>
      </w:r>
    </w:p>
    <w:p w14:paraId="4C5FF934" w14:textId="77777777" w:rsidR="00457215" w:rsidRPr="00137A23" w:rsidRDefault="00457215" w:rsidP="009C3013">
      <w:pPr>
        <w:shd w:val="clear" w:color="auto" w:fill="FFFFFF"/>
        <w:spacing w:line="240" w:lineRule="auto"/>
        <w:jc w:val="both"/>
        <w:textAlignment w:val="baseline"/>
        <w:rPr>
          <w:rFonts w:ascii="Sylfaen" w:hAnsi="Sylfaen" w:cs="Arial"/>
          <w:bCs/>
        </w:rPr>
      </w:pPr>
      <w:r w:rsidRPr="00137A23">
        <w:rPr>
          <w:rFonts w:ascii="Sylfaen" w:hAnsi="Sylfaen" w:cs="Arial"/>
          <w:bCs/>
        </w:rPr>
        <w:t xml:space="preserve">Za provođenja akta nije potrebno osigurati sredstva. </w:t>
      </w:r>
    </w:p>
    <w:p w14:paraId="18E81D41" w14:textId="77777777" w:rsidR="00457215" w:rsidRPr="00137A23" w:rsidRDefault="00457215" w:rsidP="009C3013">
      <w:pPr>
        <w:shd w:val="clear" w:color="auto" w:fill="FFFFFF"/>
        <w:spacing w:line="240" w:lineRule="auto"/>
        <w:jc w:val="both"/>
        <w:textAlignment w:val="baseline"/>
        <w:rPr>
          <w:rFonts w:ascii="Sylfaen" w:hAnsi="Sylfaen" w:cs="Arial"/>
          <w:b/>
        </w:rPr>
      </w:pPr>
    </w:p>
    <w:p w14:paraId="1BB70688" w14:textId="77777777" w:rsidR="00457215" w:rsidRPr="00137A23" w:rsidRDefault="00457215" w:rsidP="009C3013">
      <w:pPr>
        <w:jc w:val="both"/>
        <w:rPr>
          <w:rFonts w:ascii="Sylfaen" w:hAnsi="Sylfaen" w:cs="Arial"/>
          <w:b/>
          <w:bCs/>
        </w:rPr>
      </w:pPr>
      <w:r w:rsidRPr="00137A23">
        <w:rPr>
          <w:rFonts w:ascii="Sylfaen" w:hAnsi="Sylfaen" w:cs="Arial"/>
          <w:b/>
          <w:bCs/>
        </w:rPr>
        <w:t>Postupak prethodnog savjetovanja</w:t>
      </w:r>
    </w:p>
    <w:p w14:paraId="5782408F" w14:textId="057132DD" w:rsidR="00457215" w:rsidRPr="00137A23" w:rsidRDefault="00457215" w:rsidP="009C3013">
      <w:pPr>
        <w:jc w:val="both"/>
        <w:rPr>
          <w:rFonts w:ascii="Sylfaen" w:hAnsi="Sylfaen" w:cs="Arial"/>
          <w:b/>
          <w:bCs/>
          <w:color w:val="EE0000"/>
        </w:rPr>
      </w:pPr>
      <w:r w:rsidRPr="00137A23">
        <w:rPr>
          <w:rFonts w:ascii="Sylfaen" w:hAnsi="Sylfaen" w:cs="Arial"/>
          <w:bCs/>
        </w:rPr>
        <w:t xml:space="preserve">Nacrt odluke o upravljanju grobljima na području </w:t>
      </w:r>
      <w:r w:rsidR="00A73B36" w:rsidRPr="00137A23">
        <w:rPr>
          <w:rFonts w:ascii="Sylfaen" w:hAnsi="Sylfaen" w:cs="Arial"/>
          <w:bCs/>
        </w:rPr>
        <w:t>Općine Dubrava</w:t>
      </w:r>
      <w:r w:rsidRPr="00137A23">
        <w:rPr>
          <w:rFonts w:ascii="Sylfaen" w:hAnsi="Sylfaen" w:cs="Arial"/>
          <w:bCs/>
        </w:rPr>
        <w:t xml:space="preserve"> će, sukladno </w:t>
      </w:r>
      <w:r w:rsidRPr="00137A23">
        <w:rPr>
          <w:rFonts w:ascii="Sylfaen" w:eastAsia="Calibri" w:hAnsi="Sylfaen" w:cs="Arial"/>
          <w:bCs/>
        </w:rPr>
        <w:t xml:space="preserve">članku 11. stavku 2. Zakona o pravu na pristup informacijama ("Narodne novine" broj </w:t>
      </w:r>
      <w:r w:rsidRPr="00137A23">
        <w:rPr>
          <w:rFonts w:ascii="Sylfaen" w:hAnsi="Sylfaen" w:cs="Arial"/>
          <w:bCs/>
        </w:rPr>
        <w:t xml:space="preserve">25/13,  85/15 i 69/22) </w:t>
      </w:r>
      <w:r w:rsidRPr="00137A23">
        <w:rPr>
          <w:rFonts w:ascii="Sylfaen" w:eastAsia="Calibri" w:hAnsi="Sylfaen" w:cs="Arial"/>
        </w:rPr>
        <w:t xml:space="preserve">biti  </w:t>
      </w:r>
      <w:r w:rsidRPr="00137A23">
        <w:rPr>
          <w:rFonts w:ascii="Sylfaen" w:hAnsi="Sylfaen" w:cs="Arial"/>
          <w:bCs/>
        </w:rPr>
        <w:t>objavljen</w:t>
      </w:r>
      <w:r w:rsidRPr="00137A23">
        <w:rPr>
          <w:rFonts w:ascii="Sylfaen" w:hAnsi="Sylfaen" w:cs="Arial"/>
          <w:b/>
        </w:rPr>
        <w:t xml:space="preserve"> </w:t>
      </w:r>
      <w:r w:rsidRPr="00137A23">
        <w:rPr>
          <w:rFonts w:ascii="Sylfaen" w:hAnsi="Sylfaen" w:cs="Arial"/>
        </w:rPr>
        <w:t xml:space="preserve">na </w:t>
      </w:r>
      <w:r w:rsidR="00A73B36" w:rsidRPr="00137A23">
        <w:rPr>
          <w:rFonts w:ascii="Sylfaen" w:hAnsi="Sylfaen" w:cs="Arial"/>
        </w:rPr>
        <w:t>internetskoj stranici Općine Dubrava</w:t>
      </w:r>
      <w:r w:rsidRPr="00137A23">
        <w:rPr>
          <w:rFonts w:ascii="Sylfaen" w:hAnsi="Sylfaen" w:cs="Arial"/>
        </w:rPr>
        <w:t xml:space="preserve"> radi </w:t>
      </w:r>
      <w:r w:rsidR="00A73B36" w:rsidRPr="00137A23">
        <w:rPr>
          <w:rFonts w:ascii="Sylfaen" w:hAnsi="Sylfaen" w:cs="Arial"/>
        </w:rPr>
        <w:t xml:space="preserve">provođenja </w:t>
      </w:r>
      <w:r w:rsidRPr="00137A23">
        <w:rPr>
          <w:rFonts w:ascii="Sylfaen" w:hAnsi="Sylfaen" w:cs="Arial"/>
        </w:rPr>
        <w:t>savjetovanja s javnošću</w:t>
      </w:r>
      <w:r w:rsidRPr="00137A23">
        <w:rPr>
          <w:rFonts w:ascii="Sylfaen" w:hAnsi="Sylfaen" w:cs="Arial"/>
          <w:color w:val="EE0000"/>
        </w:rPr>
        <w:t xml:space="preserve">. </w:t>
      </w:r>
    </w:p>
    <w:p w14:paraId="3AF38DC8" w14:textId="77777777" w:rsidR="00457215" w:rsidRPr="00137A23" w:rsidRDefault="00457215" w:rsidP="009C3013">
      <w:pPr>
        <w:jc w:val="both"/>
        <w:rPr>
          <w:rFonts w:ascii="Sylfaen" w:hAnsi="Sylfaen" w:cs="Arial"/>
          <w:b/>
          <w:bCs/>
        </w:rPr>
      </w:pPr>
    </w:p>
    <w:p w14:paraId="2C9317B6" w14:textId="77777777" w:rsidR="00457215" w:rsidRPr="00137A23" w:rsidRDefault="00457215" w:rsidP="00137A23">
      <w:pPr>
        <w:jc w:val="right"/>
        <w:rPr>
          <w:rFonts w:ascii="Sylfaen" w:hAnsi="Sylfaen" w:cs="Arial"/>
          <w:bCs/>
        </w:rPr>
      </w:pPr>
      <w:r w:rsidRPr="00137A23">
        <w:rPr>
          <w:rFonts w:ascii="Sylfaen" w:hAnsi="Sylfaen" w:cs="Arial"/>
          <w:b/>
          <w:bCs/>
        </w:rPr>
        <w:t xml:space="preserve">  </w:t>
      </w:r>
    </w:p>
    <w:p w14:paraId="220163BB" w14:textId="77777777" w:rsidR="00457215" w:rsidRPr="00137A23" w:rsidRDefault="00457215" w:rsidP="00137A23">
      <w:pPr>
        <w:jc w:val="right"/>
        <w:rPr>
          <w:rFonts w:ascii="Sylfaen" w:hAnsi="Sylfaen" w:cs="Arial"/>
          <w:bCs/>
        </w:rPr>
      </w:pPr>
    </w:p>
    <w:p w14:paraId="2ED5BD73" w14:textId="0F8AD7C7" w:rsidR="00A73B36" w:rsidRPr="00137A23" w:rsidRDefault="00457215" w:rsidP="00137A23">
      <w:pPr>
        <w:jc w:val="right"/>
        <w:rPr>
          <w:rFonts w:ascii="Sylfaen" w:hAnsi="Sylfaen" w:cs="Arial"/>
        </w:rPr>
      </w:pPr>
      <w:r w:rsidRPr="00137A23">
        <w:rPr>
          <w:rFonts w:ascii="Sylfaen" w:hAnsi="Sylfaen" w:cs="Arial"/>
        </w:rPr>
        <w:tab/>
      </w:r>
      <w:r w:rsidRPr="00137A23">
        <w:rPr>
          <w:rFonts w:ascii="Sylfaen" w:hAnsi="Sylfaen" w:cs="Arial"/>
        </w:rPr>
        <w:tab/>
      </w:r>
      <w:r w:rsidRPr="00137A23">
        <w:rPr>
          <w:rFonts w:ascii="Sylfaen" w:hAnsi="Sylfaen" w:cs="Arial"/>
        </w:rPr>
        <w:tab/>
      </w:r>
      <w:r w:rsidRPr="00137A23">
        <w:rPr>
          <w:rFonts w:ascii="Sylfaen" w:hAnsi="Sylfaen" w:cs="Arial"/>
        </w:rPr>
        <w:tab/>
        <w:t xml:space="preserve">                                    PROČELNICA    </w:t>
      </w:r>
    </w:p>
    <w:p w14:paraId="2A5BC2C5" w14:textId="46ECFDD5" w:rsidR="00457215" w:rsidRPr="00137A23" w:rsidRDefault="00A73B36" w:rsidP="00137A23">
      <w:pPr>
        <w:jc w:val="right"/>
        <w:rPr>
          <w:rFonts w:ascii="Sylfaen" w:hAnsi="Sylfaen" w:cs="Arial"/>
        </w:rPr>
      </w:pPr>
      <w:r w:rsidRPr="00137A23">
        <w:rPr>
          <w:rFonts w:ascii="Sylfaen" w:hAnsi="Sylfaen" w:cs="Arial"/>
        </w:rPr>
        <w:tab/>
      </w:r>
      <w:r w:rsidRPr="00137A23">
        <w:rPr>
          <w:rFonts w:ascii="Sylfaen" w:hAnsi="Sylfaen" w:cs="Arial"/>
        </w:rPr>
        <w:tab/>
      </w:r>
      <w:r w:rsidRPr="00137A23">
        <w:rPr>
          <w:rFonts w:ascii="Sylfaen" w:hAnsi="Sylfaen" w:cs="Arial"/>
        </w:rPr>
        <w:tab/>
      </w:r>
      <w:r w:rsidRPr="00137A23">
        <w:rPr>
          <w:rFonts w:ascii="Sylfaen" w:hAnsi="Sylfaen" w:cs="Arial"/>
        </w:rPr>
        <w:tab/>
      </w:r>
      <w:r w:rsidRPr="00137A23">
        <w:rPr>
          <w:rFonts w:ascii="Sylfaen" w:hAnsi="Sylfaen" w:cs="Arial"/>
        </w:rPr>
        <w:tab/>
      </w:r>
      <w:r w:rsidRPr="00137A23">
        <w:rPr>
          <w:rFonts w:ascii="Sylfaen" w:hAnsi="Sylfaen" w:cs="Arial"/>
        </w:rPr>
        <w:tab/>
      </w:r>
      <w:r w:rsidRPr="00137A23">
        <w:rPr>
          <w:rFonts w:ascii="Sylfaen" w:hAnsi="Sylfaen" w:cs="Arial"/>
        </w:rPr>
        <w:tab/>
        <w:t xml:space="preserve"> Dora Adžić Salapić, </w:t>
      </w:r>
      <w:proofErr w:type="spellStart"/>
      <w:r w:rsidRPr="00137A23">
        <w:rPr>
          <w:rFonts w:ascii="Sylfaen" w:hAnsi="Sylfaen" w:cs="Arial"/>
        </w:rPr>
        <w:t>mag.iur</w:t>
      </w:r>
      <w:proofErr w:type="spellEnd"/>
      <w:r w:rsidRPr="00137A23">
        <w:rPr>
          <w:rFonts w:ascii="Sylfaen" w:hAnsi="Sylfaen" w:cs="Arial"/>
        </w:rPr>
        <w:t xml:space="preserve">. </w:t>
      </w:r>
      <w:r w:rsidR="00457215" w:rsidRPr="00137A23">
        <w:rPr>
          <w:rFonts w:ascii="Sylfaen" w:hAnsi="Sylfaen" w:cs="Arial"/>
        </w:rPr>
        <w:t xml:space="preserve">                                            </w:t>
      </w:r>
    </w:p>
    <w:p w14:paraId="1D4BBE22" w14:textId="77777777" w:rsidR="00457215" w:rsidRPr="00137A23" w:rsidRDefault="00457215" w:rsidP="00137A23">
      <w:pPr>
        <w:jc w:val="right"/>
        <w:rPr>
          <w:rFonts w:ascii="Sylfaen" w:hAnsi="Sylfaen" w:cs="Arial"/>
        </w:rPr>
      </w:pPr>
      <w:r w:rsidRPr="00137A23">
        <w:rPr>
          <w:rFonts w:ascii="Sylfaen" w:hAnsi="Sylfaen" w:cs="Arial"/>
        </w:rPr>
        <w:t xml:space="preserve">                                  </w:t>
      </w:r>
      <w:r w:rsidRPr="00137A23">
        <w:rPr>
          <w:rFonts w:ascii="Sylfaen" w:hAnsi="Sylfaen" w:cs="Arial"/>
        </w:rPr>
        <w:tab/>
      </w:r>
      <w:r w:rsidRPr="00137A23">
        <w:rPr>
          <w:rFonts w:ascii="Sylfaen" w:hAnsi="Sylfaen" w:cs="Arial"/>
        </w:rPr>
        <w:tab/>
      </w:r>
      <w:r w:rsidRPr="00137A23">
        <w:rPr>
          <w:rFonts w:ascii="Sylfaen" w:hAnsi="Sylfaen" w:cs="Arial"/>
        </w:rPr>
        <w:tab/>
      </w:r>
      <w:r w:rsidRPr="00137A23">
        <w:rPr>
          <w:rFonts w:ascii="Sylfaen" w:hAnsi="Sylfaen" w:cs="Arial"/>
        </w:rPr>
        <w:tab/>
      </w:r>
      <w:r w:rsidRPr="00137A23">
        <w:rPr>
          <w:rFonts w:ascii="Sylfaen" w:hAnsi="Sylfaen" w:cs="Arial"/>
        </w:rPr>
        <w:tab/>
      </w:r>
      <w:r w:rsidRPr="00137A23">
        <w:rPr>
          <w:rFonts w:ascii="Sylfaen" w:hAnsi="Sylfaen" w:cs="Arial"/>
        </w:rPr>
        <w:tab/>
        <w:t xml:space="preserve">     .</w:t>
      </w:r>
    </w:p>
    <w:p w14:paraId="489E0D5A" w14:textId="77777777" w:rsidR="005D2B23" w:rsidRDefault="005D2B23"/>
    <w:sectPr w:rsidR="005D2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90C7F"/>
    <w:multiLevelType w:val="hybridMultilevel"/>
    <w:tmpl w:val="015A2B38"/>
    <w:lvl w:ilvl="0" w:tplc="FB268B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52"/>
    <w:rsid w:val="000313FB"/>
    <w:rsid w:val="001013C4"/>
    <w:rsid w:val="00137A23"/>
    <w:rsid w:val="003A7027"/>
    <w:rsid w:val="00457215"/>
    <w:rsid w:val="004A6AEA"/>
    <w:rsid w:val="004B2BE4"/>
    <w:rsid w:val="0053779C"/>
    <w:rsid w:val="005D2B23"/>
    <w:rsid w:val="00724152"/>
    <w:rsid w:val="009076C2"/>
    <w:rsid w:val="009C3013"/>
    <w:rsid w:val="00A73B36"/>
    <w:rsid w:val="00A839B7"/>
    <w:rsid w:val="00AE490F"/>
    <w:rsid w:val="00C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4752"/>
  <w15:chartTrackingRefBased/>
  <w15:docId w15:val="{8E0A880A-95E4-451C-90E0-E2B2A3F6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215"/>
    <w:pPr>
      <w:spacing w:after="0" w:line="20" w:lineRule="atLeast"/>
      <w:jc w:val="center"/>
    </w:pPr>
    <w:rPr>
      <w:sz w:val="22"/>
      <w:szCs w:val="22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4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4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4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4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41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41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41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41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4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4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4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415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415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41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41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41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41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4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4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4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4152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41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415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415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4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415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4152"/>
    <w:rPr>
      <w:b/>
      <w:bCs/>
      <w:smallCaps/>
      <w:color w:val="2F5496" w:themeColor="accent1" w:themeShade="BF"/>
      <w:spacing w:val="5"/>
    </w:rPr>
  </w:style>
  <w:style w:type="paragraph" w:customStyle="1" w:styleId="box480012">
    <w:name w:val="box_480012"/>
    <w:basedOn w:val="Normal"/>
    <w:rsid w:val="004572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Komunalac Vrbovec</dc:creator>
  <cp:keywords/>
  <dc:description/>
  <cp:lastModifiedBy>Korisnik3</cp:lastModifiedBy>
  <cp:revision>5</cp:revision>
  <dcterms:created xsi:type="dcterms:W3CDTF">2026-04-14T09:24:00Z</dcterms:created>
  <dcterms:modified xsi:type="dcterms:W3CDTF">2026-04-14T17:13:00Z</dcterms:modified>
</cp:coreProperties>
</file>